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CellSpacing w:w="15" w:type="dxa"/>
        <w:tblInd w:w="-1246" w:type="dxa"/>
        <w:tblCellMar>
          <w:left w:w="0" w:type="dxa"/>
          <w:right w:w="0" w:type="dxa"/>
        </w:tblCellMar>
        <w:tblLook w:val="04A0"/>
      </w:tblPr>
      <w:tblGrid>
        <w:gridCol w:w="10774"/>
      </w:tblGrid>
      <w:tr w:rsidR="00D11594" w:rsidRPr="00FF5534" w:rsidTr="00FF5534">
        <w:trPr>
          <w:tblCellSpacing w:w="15" w:type="dxa"/>
        </w:trPr>
        <w:tc>
          <w:tcPr>
            <w:tcW w:w="4972" w:type="pct"/>
            <w:vAlign w:val="bottom"/>
            <w:hideMark/>
          </w:tcPr>
          <w:p w:rsidR="00D11594" w:rsidRPr="00FF5534" w:rsidRDefault="00D11594" w:rsidP="00D1159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9F0C0C"/>
                <w:sz w:val="24"/>
                <w:szCs w:val="24"/>
                <w:lang w:eastAsia="ru-RU"/>
              </w:rPr>
            </w:pPr>
            <w:r w:rsidRPr="00FF5534">
              <w:rPr>
                <w:rFonts w:ascii="Times New Roman" w:eastAsia="Times New Roman" w:hAnsi="Times New Roman" w:cs="Times New Roman"/>
                <w:color w:val="9F0C0C"/>
                <w:sz w:val="24"/>
                <w:szCs w:val="24"/>
                <w:lang w:eastAsia="ru-RU"/>
              </w:rPr>
              <w:t>О неправомерных сборах денежных средств в образовательных организациях</w:t>
            </w:r>
          </w:p>
        </w:tc>
      </w:tr>
    </w:tbl>
    <w:p w:rsidR="00D11594" w:rsidRPr="00FF5534" w:rsidRDefault="00D11594" w:rsidP="00D11594">
      <w:pPr>
        <w:spacing w:after="0" w:line="240" w:lineRule="auto"/>
        <w:rPr>
          <w:rFonts w:ascii="Times New Roman" w:eastAsia="Times New Roman" w:hAnsi="Times New Roman" w:cs="Times New Roman"/>
          <w:vanish/>
          <w:color w:val="790000"/>
          <w:sz w:val="16"/>
          <w:szCs w:val="16"/>
          <w:lang w:eastAsia="ru-RU"/>
        </w:rPr>
      </w:pPr>
    </w:p>
    <w:tbl>
      <w:tblPr>
        <w:tblW w:w="9504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504"/>
      </w:tblGrid>
      <w:tr w:rsidR="00D11594" w:rsidRPr="00FF5534" w:rsidTr="00FF5534">
        <w:trPr>
          <w:trHeight w:val="9163"/>
          <w:tblCellSpacing w:w="15" w:type="dxa"/>
        </w:trPr>
        <w:tc>
          <w:tcPr>
            <w:tcW w:w="0" w:type="auto"/>
            <w:hideMark/>
          </w:tcPr>
          <w:p w:rsidR="00D11594" w:rsidRPr="00FF5534" w:rsidRDefault="00D11594" w:rsidP="00FF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</w:pPr>
            <w:r w:rsidRPr="00FF5534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t>Уважаемые родители!</w:t>
            </w:r>
          </w:p>
          <w:p w:rsidR="00D11594" w:rsidRPr="00FF5534" w:rsidRDefault="00D11594" w:rsidP="00FF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</w:pPr>
            <w:r w:rsidRPr="00FF5534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t xml:space="preserve">Обращаемся </w:t>
            </w:r>
            <w:proofErr w:type="gramStart"/>
            <w:r w:rsidRPr="00FF5534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t>к вам в связи с участившимися случаями неправомерных сборов денежных средств в образовательных организациях на различные нужды</w:t>
            </w:r>
            <w:proofErr w:type="gramEnd"/>
            <w:r w:rsidRPr="00FF5534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t>, в том числе под видом благотворительных взносов.</w:t>
            </w:r>
            <w:r w:rsidRPr="00FF5534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В соответствии с Федеральным законом «Об образовании в Российской Федерации» государство гарантирует гражданам общедоступность и бесплатность дошкольного, начального общего, основного общего, среднего общего образования.</w:t>
            </w:r>
            <w:r w:rsidRPr="00FF5534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Деятельность образовательных организаций, реализующих указанные программы, финансируется из соответствующих бюджетов. Образовательная организация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родителей. </w:t>
            </w:r>
            <w:r w:rsidRPr="00FF5534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 xml:space="preserve">Однако при привлечении дополнительных финансовых средств отмечаются многочисленные нарушения законодательства со стороны администраций образовательных учреждений, а отсутствие должного общественного </w:t>
            </w:r>
            <w:proofErr w:type="gramStart"/>
            <w:r w:rsidRPr="00FF5534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F5534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t xml:space="preserve"> сбором и расходованием родительских пожертвований способствует созданию почвы для различных злоупотреблений.</w:t>
            </w:r>
            <w:r w:rsidRPr="00FF5534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Нарушение действующего законодательства допускается и со стороны родительских комитетов, которые, порой, принуждают родителей к участию в так называемой «благотворительной деятельности». </w:t>
            </w:r>
            <w:r w:rsidRPr="00FF5534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proofErr w:type="gramStart"/>
            <w:r w:rsidRPr="00FF5534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t>Становятся эпидемией сборы значительных денежных средств на ремонты школ и кабинетов, проведение детских праздников, выпускных вечеров, выезды и экскурсии, подарки педагогам и др. </w:t>
            </w:r>
            <w:r w:rsidRPr="00FF5534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Как правило, они инициируются родителями с высоким финансовым достатком, при этом не учитываются интересы и доходы многодетных, малообеспеченных и просто родителей, не желающих вкладывать значительные средства в данные мероприятия.</w:t>
            </w:r>
            <w:proofErr w:type="gramEnd"/>
            <w:r w:rsidRPr="00FF5534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t> </w:t>
            </w:r>
            <w:r w:rsidRPr="00FF5534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Фанатизм некоторых родительских комитетов порой просто удивляет: ремонт потолка в классе – 45 000 рублей, подарки учителю (воспитателю) к 8 марта, Дню учителя и др. – в конверте в денежном эквиваленте, новогодние подарки детям – от 2000 рублей, выпускной вечер – 20 000 рублей. </w:t>
            </w:r>
            <w:r w:rsidRPr="00FF5534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В данном случае хотелось бы пояснить, что родительский комитет вправе принять решение о сборе денежных средств только в отношении самих себя (членов комитета), а не родителей всех детей, посещающих данное учреждение (класс). Принятие решений, обязывающих граждан оказывать благотворительную помощь третьим лицам, нарушает основной принцип оказания благотворительной помощи — принцип добровольности, а, следовательно, является грубым нарушением требований действующего законодательства. </w:t>
            </w:r>
            <w:r w:rsidRPr="00FF5534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proofErr w:type="gramStart"/>
            <w:r w:rsidRPr="00FF5534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t>Таким образом, в случае, если в образовательном учреждении кем-либо (директором, воспитателем, членами родительского комитета, любым из родителей) объявлено устно или письменно, что кем-то принято решение о сборе «благотворительных» взносов в определенной сумме на определенные цели, данное решение распространяется только на лиц, его принявших, и не влечет обязанности внесения таких сборов другими родителями.</w:t>
            </w:r>
            <w:proofErr w:type="gramEnd"/>
            <w:r w:rsidRPr="00FF5534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Уважаемые родители! </w:t>
            </w:r>
            <w:r w:rsidRPr="00FF5534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При оказании Вами благотворительной помощи образовательной организации следует помнить, что когда речь идет об астрономических суммах, не стоит молчать и ждать выпускного класса (группы) вашего ребенка, за свои права и финансы необходимо бороться.</w:t>
            </w:r>
            <w:r w:rsidRPr="00FF5534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Необходимо дать отпор поборам в образовательных организациях! Только государственно-правовыми инструментами, без общественного участия, внутреннего противодействия со стороны родительского сообщества эту проблему не искоренить.</w:t>
            </w:r>
          </w:p>
          <w:p w:rsidR="00D11594" w:rsidRPr="00FF5534" w:rsidRDefault="00D11594" w:rsidP="00FF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</w:pPr>
            <w:r w:rsidRPr="00FF5534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t>Родительский совет Курганской области</w:t>
            </w:r>
          </w:p>
          <w:tbl>
            <w:tblPr>
              <w:tblW w:w="4829" w:type="pct"/>
              <w:tblCellSpacing w:w="37" w:type="dxa"/>
              <w:tblBorders>
                <w:bottom w:val="single" w:sz="6" w:space="0" w:color="CCCCCC"/>
              </w:tblBorders>
              <w:shd w:val="clear" w:color="auto" w:fill="F8F8F8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121"/>
            </w:tblGrid>
            <w:tr w:rsidR="00D11594" w:rsidRPr="00FF5534" w:rsidTr="00FF5534">
              <w:trPr>
                <w:trHeight w:val="126"/>
                <w:tblCellSpacing w:w="37" w:type="dxa"/>
              </w:trPr>
              <w:tc>
                <w:tcPr>
                  <w:tcW w:w="4919" w:type="pct"/>
                  <w:shd w:val="clear" w:color="auto" w:fill="F8F8F8"/>
                  <w:hideMark/>
                </w:tcPr>
                <w:p w:rsidR="00D11594" w:rsidRPr="00FF5534" w:rsidRDefault="00D11594" w:rsidP="00FF5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  <w:lang w:eastAsia="ru-RU"/>
                    </w:rPr>
                  </w:pPr>
                  <w:r w:rsidRPr="00FF5534">
                    <w:rPr>
                      <w:rFonts w:ascii="Times New Roman" w:eastAsia="Times New Roman" w:hAnsi="Times New Roman" w:cs="Times New Roman"/>
                      <w:noProof/>
                      <w:color w:val="790000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90500" cy="190500"/>
                        <wp:effectExtent l="19050" t="0" r="0" b="0"/>
                        <wp:docPr id="1" name="Рисунок 1" descr="http://www.hde.kurganobl.ru/plugins/content/mavikthumbnails/thumbnails/20x20-images-jdownloads-fileimages-pd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hde.kurganobl.ru/plugins/content/mavikthumbnails/thumbnails/20x20-images-jdownloads-fileimages-pd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534"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  <w:lang w:eastAsia="ru-RU"/>
                    </w:rPr>
                    <w:t> </w:t>
                  </w:r>
                  <w:hyperlink r:id="rId5" w:history="1">
                    <w:r w:rsidRPr="00FF5534">
                      <w:rPr>
                        <w:rFonts w:ascii="Times New Roman" w:eastAsia="Times New Roman" w:hAnsi="Times New Roman" w:cs="Times New Roman"/>
                        <w:color w:val="135CAE"/>
                        <w:sz w:val="24"/>
                        <w:szCs w:val="24"/>
                        <w:lang w:eastAsia="ru-RU"/>
                      </w:rPr>
                      <w:t>Обращение Областного родительского совета Курганской области</w:t>
                    </w:r>
                  </w:hyperlink>
                  <w:r w:rsidRPr="00FF5534"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  <w:lang w:eastAsia="ru-RU"/>
                    </w:rPr>
                    <w:t> </w:t>
                  </w:r>
                  <w:r w:rsidRPr="00FF5534">
                    <w:rPr>
                      <w:rFonts w:ascii="Times New Roman" w:eastAsia="Times New Roman" w:hAnsi="Times New Roman" w:cs="Times New Roman"/>
                      <w:noProof/>
                      <w:color w:val="79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25" cy="152400"/>
                        <wp:effectExtent l="19050" t="0" r="9525" b="0"/>
                        <wp:docPr id="2" name="Рисунок 2" descr="http://www.hde.kurganobl.ru/images/jdownloads/hotimages/r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hde.kurganobl.ru/images/jdownloads/hotimages/r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1594" w:rsidRPr="00FF5534" w:rsidTr="00FF5534">
              <w:trPr>
                <w:trHeight w:val="73"/>
                <w:tblCellSpacing w:w="37" w:type="dxa"/>
              </w:trPr>
              <w:tc>
                <w:tcPr>
                  <w:tcW w:w="0" w:type="auto"/>
                  <w:shd w:val="clear" w:color="auto" w:fill="F8F8F8"/>
                  <w:hideMark/>
                </w:tcPr>
                <w:p w:rsidR="00D11594" w:rsidRPr="00FF5534" w:rsidRDefault="00D11594" w:rsidP="00FF5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  <w:lang w:eastAsia="ru-RU"/>
                    </w:rPr>
                  </w:pPr>
                  <w:r w:rsidRPr="00FF5534"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  <w:lang w:eastAsia="ru-RU"/>
                    </w:rPr>
                    <w:t>Обращение Областного родительского совета Курганской области в связи с участившимися случаями неправомерных сборов денежных средств в образовательных организациях</w:t>
                  </w:r>
                </w:p>
              </w:tc>
            </w:tr>
          </w:tbl>
          <w:p w:rsidR="00D11594" w:rsidRPr="00FF5534" w:rsidRDefault="00D11594" w:rsidP="00FF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</w:pPr>
          </w:p>
        </w:tc>
      </w:tr>
    </w:tbl>
    <w:p w:rsidR="00BB66DE" w:rsidRPr="00FF5534" w:rsidRDefault="00BB66DE">
      <w:pPr>
        <w:rPr>
          <w:rFonts w:ascii="Times New Roman" w:hAnsi="Times New Roman" w:cs="Times New Roman"/>
          <w:sz w:val="16"/>
          <w:szCs w:val="16"/>
        </w:rPr>
      </w:pPr>
    </w:p>
    <w:sectPr w:rsidR="00BB66DE" w:rsidRPr="00FF5534" w:rsidSect="00FF5534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11594"/>
    <w:rsid w:val="008325CE"/>
    <w:rsid w:val="00A40216"/>
    <w:rsid w:val="00BB66DE"/>
    <w:rsid w:val="00D11594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594"/>
    <w:rPr>
      <w:color w:val="D10B12"/>
      <w:u w:val="single"/>
    </w:rPr>
  </w:style>
  <w:style w:type="paragraph" w:styleId="a4">
    <w:name w:val="Normal (Web)"/>
    <w:basedOn w:val="a"/>
    <w:uiPriority w:val="99"/>
    <w:semiHidden/>
    <w:unhideWhenUsed/>
    <w:rsid w:val="00D1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hde.kurganobl.ru/index.php?option=com_jdownloads&amp;Itemid=11&amp;task=view.download&amp;catid=63&amp;cid=482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2016-02-09T10:04:00Z</dcterms:created>
  <dcterms:modified xsi:type="dcterms:W3CDTF">2016-02-09T10:22:00Z</dcterms:modified>
</cp:coreProperties>
</file>